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82D5" w14:textId="77777777" w:rsidR="00AB0CAB" w:rsidRPr="004064C6" w:rsidRDefault="00AB0CAB" w:rsidP="00AB0CAB">
      <w:pPr>
        <w:jc w:val="center"/>
        <w:rPr>
          <w:b/>
          <w:sz w:val="28"/>
          <w:szCs w:val="28"/>
        </w:rPr>
      </w:pPr>
      <w:r w:rsidRPr="004064C6">
        <w:rPr>
          <w:b/>
          <w:sz w:val="28"/>
          <w:szCs w:val="28"/>
        </w:rPr>
        <w:t>Supplementary material</w:t>
      </w:r>
    </w:p>
    <w:p w14:paraId="1A83F10F" w14:textId="77777777" w:rsidR="00AB0CAB" w:rsidRPr="007C06F7" w:rsidRDefault="00AB0CAB" w:rsidP="00AB0CAB">
      <w:pPr>
        <w:jc w:val="center"/>
      </w:pPr>
      <w:r w:rsidRPr="00DD450E">
        <w:t>to</w:t>
      </w:r>
    </w:p>
    <w:p w14:paraId="14D938AA" w14:textId="77777777" w:rsidR="00AB0CAB" w:rsidRPr="00AB0CAB" w:rsidRDefault="00AB0CAB" w:rsidP="00AB0CAB">
      <w:pPr>
        <w:spacing w:line="360" w:lineRule="auto"/>
        <w:ind w:left="360"/>
        <w:jc w:val="center"/>
        <w:rPr>
          <w:rFonts w:eastAsia="Calibri"/>
          <w:b/>
          <w:bCs/>
          <w:sz w:val="28"/>
          <w:szCs w:val="28"/>
        </w:rPr>
      </w:pPr>
      <w:r w:rsidRPr="00AB0CAB">
        <w:rPr>
          <w:rFonts w:eastAsia="Calibri"/>
          <w:b/>
          <w:bCs/>
          <w:sz w:val="28"/>
          <w:szCs w:val="28"/>
        </w:rPr>
        <w:t>New Terbium Complex for Detection of Gemifloxacin</w:t>
      </w:r>
      <w:r w:rsidRPr="00AB0CAB">
        <w:rPr>
          <w:rFonts w:eastAsia="Calibri" w:hint="cs"/>
          <w:b/>
          <w:bCs/>
          <w:sz w:val="28"/>
          <w:szCs w:val="28"/>
          <w:rtl/>
        </w:rPr>
        <w:t xml:space="preserve"> </w:t>
      </w:r>
      <w:r w:rsidRPr="00AB0CAB">
        <w:rPr>
          <w:rFonts w:eastAsia="Calibri"/>
          <w:b/>
          <w:bCs/>
          <w:sz w:val="28"/>
          <w:szCs w:val="28"/>
        </w:rPr>
        <w:t>Mesylate in Tablets and Spiked Plasma Samples Using Luminescence</w:t>
      </w:r>
      <w:r w:rsidRPr="00AB0CAB">
        <w:rPr>
          <w:rFonts w:eastAsia="Calibri"/>
        </w:rPr>
        <w:t xml:space="preserve"> </w:t>
      </w:r>
      <w:r w:rsidRPr="00AB0CAB">
        <w:rPr>
          <w:rFonts w:eastAsia="Calibri"/>
          <w:b/>
          <w:bCs/>
          <w:sz w:val="28"/>
          <w:szCs w:val="28"/>
        </w:rPr>
        <w:t>and Time Resolved Method</w:t>
      </w:r>
    </w:p>
    <w:p w14:paraId="6C5F7B6A" w14:textId="77777777" w:rsidR="00AB0CAB" w:rsidRPr="00AB0CAB" w:rsidRDefault="00AB0CAB" w:rsidP="00AB0CAB">
      <w:pPr>
        <w:jc w:val="both"/>
        <w:rPr>
          <w:rFonts w:eastAsia="MS Mincho"/>
          <w:b/>
          <w:bCs/>
          <w:sz w:val="22"/>
          <w:szCs w:val="22"/>
        </w:rPr>
      </w:pPr>
      <w:r w:rsidRPr="00AB0CAB">
        <w:rPr>
          <w:rFonts w:eastAsia="Calibri"/>
          <w:b/>
          <w:bCs/>
          <w:sz w:val="22"/>
          <w:szCs w:val="22"/>
        </w:rPr>
        <w:t>Rania M. Goda</w:t>
      </w:r>
      <w:r w:rsidRPr="00AB0CAB">
        <w:rPr>
          <w:rFonts w:eastAsia="Calibri"/>
          <w:b/>
          <w:bCs/>
          <w:sz w:val="22"/>
          <w:szCs w:val="22"/>
          <w:vertAlign w:val="superscript"/>
        </w:rPr>
        <w:t>1</w:t>
      </w:r>
      <w:r w:rsidRPr="00AB0CAB">
        <w:rPr>
          <w:rFonts w:eastAsia="Calibri"/>
          <w:b/>
          <w:bCs/>
          <w:sz w:val="22"/>
          <w:szCs w:val="22"/>
        </w:rPr>
        <w:t>, Zeinab M. Anwar</w:t>
      </w:r>
      <w:r w:rsidRPr="00AB0CAB">
        <w:rPr>
          <w:rFonts w:eastAsia="Calibri"/>
          <w:b/>
          <w:bCs/>
          <w:sz w:val="22"/>
          <w:szCs w:val="22"/>
          <w:vertAlign w:val="superscript"/>
        </w:rPr>
        <w:t>1</w:t>
      </w:r>
      <w:r w:rsidRPr="00AB0CAB">
        <w:rPr>
          <w:rFonts w:eastAsia="Calibri"/>
          <w:b/>
          <w:bCs/>
          <w:sz w:val="22"/>
          <w:szCs w:val="22"/>
        </w:rPr>
        <w:t xml:space="preserve">, </w:t>
      </w:r>
      <w:r w:rsidRPr="00AB0CAB">
        <w:rPr>
          <w:rFonts w:eastAsia="MS Mincho"/>
          <w:b/>
          <w:bCs/>
          <w:sz w:val="22"/>
          <w:szCs w:val="22"/>
        </w:rPr>
        <w:t>Axel Duerkop</w:t>
      </w:r>
      <w:r w:rsidRPr="00AB0CAB">
        <w:rPr>
          <w:rFonts w:eastAsia="MS Mincho"/>
          <w:b/>
          <w:bCs/>
          <w:sz w:val="22"/>
          <w:szCs w:val="22"/>
          <w:vertAlign w:val="superscript"/>
        </w:rPr>
        <w:t>2*</w:t>
      </w:r>
      <w:r w:rsidRPr="00AB0CAB">
        <w:rPr>
          <w:rFonts w:eastAsia="MS Mincho"/>
          <w:b/>
          <w:bCs/>
          <w:sz w:val="22"/>
          <w:szCs w:val="22"/>
        </w:rPr>
        <w:t xml:space="preserve">, </w:t>
      </w:r>
      <w:r w:rsidRPr="00AB0CAB">
        <w:rPr>
          <w:rFonts w:eastAsia="Calibri"/>
          <w:b/>
          <w:bCs/>
          <w:sz w:val="22"/>
          <w:szCs w:val="22"/>
        </w:rPr>
        <w:t>Gasser M. Khairy</w:t>
      </w:r>
      <w:r w:rsidRPr="00AB0CAB">
        <w:rPr>
          <w:rFonts w:eastAsia="Calibri"/>
          <w:b/>
          <w:bCs/>
          <w:sz w:val="22"/>
          <w:szCs w:val="22"/>
          <w:vertAlign w:val="superscript"/>
        </w:rPr>
        <w:t>1</w:t>
      </w:r>
      <w:r w:rsidRPr="00AB0CAB">
        <w:rPr>
          <w:rFonts w:eastAsia="MS Mincho"/>
          <w:b/>
          <w:bCs/>
          <w:sz w:val="22"/>
          <w:szCs w:val="22"/>
        </w:rPr>
        <w:t>*</w:t>
      </w:r>
    </w:p>
    <w:p w14:paraId="260E916A" w14:textId="77777777" w:rsidR="00AB0CAB" w:rsidRPr="00AB0CAB" w:rsidRDefault="00AB0CAB" w:rsidP="00AB0CAB">
      <w:pPr>
        <w:spacing w:line="240" w:lineRule="auto"/>
        <w:jc w:val="both"/>
        <w:rPr>
          <w:rFonts w:eastAsia="Calibri"/>
          <w:sz w:val="22"/>
          <w:szCs w:val="22"/>
        </w:rPr>
      </w:pPr>
      <w:r w:rsidRPr="00AB0CAB">
        <w:rPr>
          <w:rFonts w:eastAsia="Calibri"/>
          <w:sz w:val="22"/>
          <w:szCs w:val="22"/>
          <w:vertAlign w:val="superscript"/>
        </w:rPr>
        <w:t xml:space="preserve">1 </w:t>
      </w:r>
      <w:r w:rsidRPr="00AB0CAB">
        <w:rPr>
          <w:rFonts w:eastAsia="Calibri"/>
          <w:sz w:val="22"/>
          <w:szCs w:val="22"/>
        </w:rPr>
        <w:t>Chemistry Department, Faculty of Science, Suez Canal University, 41522 Ismailia, Egypt.</w:t>
      </w:r>
    </w:p>
    <w:p w14:paraId="17ED4562" w14:textId="2F74DEBD" w:rsidR="00AB0CAB" w:rsidRDefault="00AB0CAB" w:rsidP="00AB0CAB">
      <w:pPr>
        <w:spacing w:line="240" w:lineRule="auto"/>
        <w:jc w:val="both"/>
        <w:rPr>
          <w:rFonts w:eastAsia="Calibri"/>
          <w:sz w:val="22"/>
          <w:szCs w:val="22"/>
        </w:rPr>
      </w:pPr>
      <w:r w:rsidRPr="00AB0CAB">
        <w:rPr>
          <w:rFonts w:eastAsia="Calibri"/>
          <w:sz w:val="22"/>
          <w:szCs w:val="22"/>
          <w:vertAlign w:val="superscript"/>
        </w:rPr>
        <w:t xml:space="preserve">2 </w:t>
      </w:r>
      <w:r w:rsidRPr="00AB0CAB">
        <w:rPr>
          <w:rFonts w:eastAsia="Calibri"/>
          <w:sz w:val="22"/>
          <w:szCs w:val="22"/>
        </w:rPr>
        <w:t>Institute of Analytical Chemistry, Chemo and Biosensors, Faculty of Chemistry and Pharmacy, University of Regensburg, 93053 Regensburg, Germany.</w:t>
      </w:r>
    </w:p>
    <w:p w14:paraId="3191B700" w14:textId="319D6520" w:rsidR="00AB0CAB" w:rsidRDefault="00AB0CAB" w:rsidP="00AB0CAB">
      <w:pPr>
        <w:spacing w:line="240" w:lineRule="auto"/>
        <w:jc w:val="both"/>
        <w:rPr>
          <w:rFonts w:eastAsia="Calibri"/>
          <w:sz w:val="22"/>
          <w:szCs w:val="22"/>
        </w:rPr>
      </w:pPr>
    </w:p>
    <w:p w14:paraId="7E3D4873" w14:textId="10115D17" w:rsidR="00AB0CAB" w:rsidRDefault="00AB0CAB" w:rsidP="00AB0CAB">
      <w:pPr>
        <w:spacing w:line="240" w:lineRule="auto"/>
        <w:jc w:val="both"/>
        <w:rPr>
          <w:rFonts w:eastAsia="Calibri"/>
          <w:sz w:val="22"/>
          <w:szCs w:val="22"/>
        </w:rPr>
      </w:pPr>
    </w:p>
    <w:p w14:paraId="052CF1D5" w14:textId="77777777" w:rsidR="00AB0CAB" w:rsidRPr="00AB0CAB" w:rsidRDefault="00AB0CAB" w:rsidP="00AB0CAB">
      <w:pPr>
        <w:spacing w:line="240" w:lineRule="auto"/>
        <w:jc w:val="both"/>
        <w:rPr>
          <w:rFonts w:eastAsia="Calibri"/>
          <w:sz w:val="22"/>
          <w:szCs w:val="22"/>
        </w:rPr>
      </w:pPr>
    </w:p>
    <w:tbl>
      <w:tblPr>
        <w:tblStyle w:val="TableGrid"/>
        <w:tblW w:w="9641" w:type="dxa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30"/>
      </w:tblGrid>
      <w:tr w:rsidR="00AB0CAB" w14:paraId="7B3C1945" w14:textId="77777777" w:rsidTr="00B034BC">
        <w:trPr>
          <w:trHeight w:val="3537"/>
        </w:trPr>
        <w:tc>
          <w:tcPr>
            <w:tcW w:w="4811" w:type="dxa"/>
          </w:tcPr>
          <w:p w14:paraId="1B137F94" w14:textId="77777777" w:rsidR="00AB0CAB" w:rsidRPr="002848B1" w:rsidRDefault="00AB0CAB" w:rsidP="00004ADD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2848B1">
              <w:rPr>
                <w:rFonts w:asciiTheme="majorBidi" w:hAnsiTheme="majorBidi" w:cstheme="majorBidi"/>
              </w:rPr>
              <w:object w:dxaOrig="7586" w:dyaOrig="3166" w14:anchorId="651CB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93.75pt" o:ole="">
                  <v:imagedata r:id="rId6" o:title=""/>
                </v:shape>
                <o:OLEObject Type="Embed" ProgID="ChemDraw.Document.6.0" ShapeID="_x0000_i1025" DrawAspect="Content" ObjectID="_1791371889" r:id="rId7"/>
              </w:object>
            </w:r>
          </w:p>
          <w:p w14:paraId="56120C8F" w14:textId="77777777" w:rsidR="00AB0CAB" w:rsidRPr="002848B1" w:rsidRDefault="00AB0CAB" w:rsidP="00004ADD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2848B1">
              <w:rPr>
                <w:rFonts w:asciiTheme="majorBidi" w:hAnsiTheme="majorBidi" w:cstheme="majorBidi"/>
              </w:rPr>
              <w:t>Gemifloxacin mesylate (GMF)</w:t>
            </w:r>
          </w:p>
          <w:p w14:paraId="0D78A1D8" w14:textId="77777777" w:rsidR="00AB0CAB" w:rsidRPr="002848B1" w:rsidRDefault="00AB0CAB" w:rsidP="00004ADD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0" w:type="dxa"/>
          </w:tcPr>
          <w:p w14:paraId="67E5916A" w14:textId="77777777" w:rsidR="00AB0CAB" w:rsidRPr="002848B1" w:rsidRDefault="00AB0CAB" w:rsidP="00004ADD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>
              <w:object w:dxaOrig="4010" w:dyaOrig="2328" w14:anchorId="19B6F64C">
                <v:shape id="_x0000_i1026" type="#_x0000_t75" style="width:200.25pt;height:116.25pt" o:ole="">
                  <v:imagedata r:id="rId8" o:title=""/>
                </v:shape>
                <o:OLEObject Type="Embed" ProgID="ChemDraw.Document.6.0" ShapeID="_x0000_i1026" DrawAspect="Content" ObjectID="_1791371890" r:id="rId9"/>
              </w:object>
            </w:r>
          </w:p>
          <w:p w14:paraId="6D088751" w14:textId="77777777" w:rsidR="00AB0CAB" w:rsidRPr="002848B1" w:rsidRDefault="00AB0CAB" w:rsidP="00004ADD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AB0CAB" w14:paraId="3142E343" w14:textId="77777777" w:rsidTr="00B034BC">
        <w:trPr>
          <w:trHeight w:val="583"/>
        </w:trPr>
        <w:tc>
          <w:tcPr>
            <w:tcW w:w="9641" w:type="dxa"/>
            <w:gridSpan w:val="2"/>
          </w:tcPr>
          <w:p w14:paraId="4BA26D2B" w14:textId="77777777" w:rsidR="00AB0CAB" w:rsidRPr="00631380" w:rsidRDefault="00AB0CAB" w:rsidP="00004ADD">
            <w:pPr>
              <w:ind w:left="0" w:firstLine="0"/>
              <w:jc w:val="center"/>
              <w:rPr>
                <w:rFonts w:asciiTheme="majorBidi" w:hAnsiTheme="majorBidi" w:cstheme="majorBidi"/>
              </w:rPr>
            </w:pPr>
            <w:r w:rsidRPr="00DD450E">
              <w:rPr>
                <w:rFonts w:eastAsia="Calibri"/>
                <w:b/>
              </w:rPr>
              <w:t>Scheme S1.</w:t>
            </w:r>
            <w:r>
              <w:rPr>
                <w:rFonts w:eastAsia="Calibri"/>
                <w:b/>
              </w:rPr>
              <w:t xml:space="preserve"> </w:t>
            </w:r>
            <w:r w:rsidRPr="00DD450E">
              <w:rPr>
                <w:rFonts w:eastAsia="Calibri"/>
              </w:rPr>
              <w:t>Chemical structure</w:t>
            </w:r>
            <w:r>
              <w:rPr>
                <w:rFonts w:eastAsia="Calibri"/>
              </w:rPr>
              <w:t>s</w:t>
            </w:r>
            <w:r w:rsidRPr="00DD450E">
              <w:rPr>
                <w:rFonts w:eastAsia="Calibri"/>
              </w:rPr>
              <w:t xml:space="preserve"> of ligand and antibiotic stud</w:t>
            </w:r>
            <w:r>
              <w:rPr>
                <w:rFonts w:eastAsia="Calibri"/>
              </w:rPr>
              <w:t>ied.</w:t>
            </w:r>
          </w:p>
        </w:tc>
      </w:tr>
    </w:tbl>
    <w:tbl>
      <w:tblPr>
        <w:tblStyle w:val="TableGrid41"/>
        <w:tblW w:w="1029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5439"/>
      </w:tblGrid>
      <w:tr w:rsidR="00AB0CAB" w:rsidRPr="00413183" w14:paraId="700544C1" w14:textId="77777777" w:rsidTr="00AB0CAB">
        <w:tc>
          <w:tcPr>
            <w:tcW w:w="5224" w:type="dxa"/>
          </w:tcPr>
          <w:p w14:paraId="08B782A9" w14:textId="77777777" w:rsidR="00AB0CAB" w:rsidRPr="00413183" w:rsidRDefault="00AB0CAB" w:rsidP="00004ADD">
            <w:r w:rsidRPr="00413183">
              <w:rPr>
                <w:rFonts w:asciiTheme="majorBidi" w:eastAsiaTheme="minorEastAsia" w:hAnsiTheme="majorBidi" w:cstheme="majorBidi"/>
                <w:noProof/>
              </w:rPr>
              <w:object w:dxaOrig="6487" w:dyaOrig="4950" w14:anchorId="1A626C91">
                <v:shape id="_x0000_i1027" type="#_x0000_t75" alt="" style="width:250.5pt;height:224.25pt" o:ole="">
                  <v:imagedata r:id="rId10" o:title=""/>
                </v:shape>
                <o:OLEObject Type="Embed" ProgID="Origin95.Graph" ShapeID="_x0000_i1027" DrawAspect="Content" ObjectID="_1791371891" r:id="rId11"/>
              </w:object>
            </w:r>
          </w:p>
        </w:tc>
        <w:tc>
          <w:tcPr>
            <w:tcW w:w="5071" w:type="dxa"/>
          </w:tcPr>
          <w:p w14:paraId="031C4EBC" w14:textId="2902BE9C" w:rsidR="00AB0CAB" w:rsidRPr="00413183" w:rsidRDefault="00664A0F" w:rsidP="00004ADD">
            <w:r w:rsidRPr="00413183">
              <w:rPr>
                <w:rFonts w:asciiTheme="majorBidi" w:eastAsiaTheme="minorEastAsia" w:hAnsiTheme="majorBidi" w:cstheme="majorBidi"/>
                <w:noProof/>
              </w:rPr>
              <w:object w:dxaOrig="8622" w:dyaOrig="6590" w14:anchorId="4CEBAF79">
                <v:shape id="_x0000_i1028" type="#_x0000_t75" alt="" style="width:243pt;height:216.75pt" o:ole="">
                  <v:imagedata r:id="rId12" o:title=""/>
                </v:shape>
                <o:OLEObject Type="Embed" ProgID="ChemDraw.Document.6.0" ShapeID="_x0000_i1028" DrawAspect="Content" ObjectID="_1791371892" r:id="rId13"/>
              </w:object>
            </w:r>
          </w:p>
        </w:tc>
      </w:tr>
      <w:tr w:rsidR="00AB0CAB" w:rsidRPr="00413183" w14:paraId="498FF930" w14:textId="77777777" w:rsidTr="00AB0CAB">
        <w:tc>
          <w:tcPr>
            <w:tcW w:w="10295" w:type="dxa"/>
            <w:gridSpan w:val="2"/>
          </w:tcPr>
          <w:p w14:paraId="152BA4BE" w14:textId="1AD26E90" w:rsidR="00AB0CAB" w:rsidRDefault="00AB0CAB" w:rsidP="00AB0CAB">
            <w:pPr>
              <w:spacing w:line="360" w:lineRule="auto"/>
              <w:rPr>
                <w:bCs/>
              </w:rPr>
            </w:pPr>
            <w:r w:rsidRPr="002E6EB3">
              <w:rPr>
                <w:b/>
              </w:rPr>
              <w:t>Figure S1</w:t>
            </w:r>
            <w:r>
              <w:rPr>
                <w:b/>
              </w:rPr>
              <w:t xml:space="preserve">: </w:t>
            </w:r>
            <w:r w:rsidR="00B034BC">
              <w:rPr>
                <w:b/>
              </w:rPr>
              <w:t>(a)</w:t>
            </w:r>
            <w:r w:rsidRPr="00413183">
              <w:t>Job plot of Tb(III)-(AZ)</w:t>
            </w:r>
            <w:r w:rsidRPr="00413183">
              <w:rPr>
                <w:vertAlign w:val="subscript"/>
              </w:rPr>
              <w:t>2</w:t>
            </w:r>
            <w:r w:rsidRPr="00413183">
              <w:t xml:space="preserve"> complex at λ</w:t>
            </w:r>
            <w:r w:rsidRPr="00413183">
              <w:rPr>
                <w:vertAlign w:val="subscript"/>
              </w:rPr>
              <w:t>exc/em</w:t>
            </w:r>
            <w:r w:rsidRPr="00413183">
              <w:t xml:space="preserve"> = 307/545 nm, </w:t>
            </w:r>
            <w:r w:rsidRPr="00413183">
              <w:rPr>
                <w:bCs/>
              </w:rPr>
              <w:t>the concentration range is (1 x 10</w:t>
            </w:r>
            <w:r w:rsidRPr="00413183">
              <w:rPr>
                <w:bCs/>
                <w:vertAlign w:val="superscript"/>
              </w:rPr>
              <w:t>-5</w:t>
            </w:r>
            <w:r w:rsidRPr="00413183">
              <w:rPr>
                <w:bCs/>
              </w:rPr>
              <w:t xml:space="preserve"> – 1 x 10</w:t>
            </w:r>
            <w:r w:rsidRPr="00413183">
              <w:rPr>
                <w:bCs/>
                <w:vertAlign w:val="superscript"/>
              </w:rPr>
              <w:t>-4</w:t>
            </w:r>
            <w:r w:rsidRPr="00413183">
              <w:rPr>
                <w:bCs/>
              </w:rPr>
              <w:t xml:space="preserve"> mol/L) </w:t>
            </w:r>
            <w:r w:rsidRPr="00413183">
              <w:t>in methanol at room temperature.</w:t>
            </w:r>
            <w:r w:rsidRPr="00413183">
              <w:rPr>
                <w:bCs/>
              </w:rPr>
              <w:t xml:space="preserve"> </w:t>
            </w:r>
            <w:r w:rsidRPr="00B034BC">
              <w:rPr>
                <w:b/>
              </w:rPr>
              <w:t>(b)</w:t>
            </w:r>
            <w:r w:rsidRPr="00413183">
              <w:rPr>
                <w:bCs/>
              </w:rPr>
              <w:t xml:space="preserve"> The proposed chemical structure of the Tb(III) complex in methanol.</w:t>
            </w:r>
          </w:p>
          <w:p w14:paraId="465BC48C" w14:textId="77777777" w:rsidR="00AB0CAB" w:rsidRPr="00413183" w:rsidRDefault="00AB0CAB" w:rsidP="00004ADD"/>
        </w:tc>
      </w:tr>
    </w:tbl>
    <w:p w14:paraId="11C645F8" w14:textId="2FC70E92" w:rsidR="00AB0CAB" w:rsidRDefault="00AB0CAB" w:rsidP="00AB0CAB">
      <w:pPr>
        <w:ind w:left="0" w:firstLine="0"/>
      </w:pPr>
    </w:p>
    <w:p w14:paraId="0286C69E" w14:textId="77777777" w:rsidR="00AB0CAB" w:rsidRDefault="00AB0CAB">
      <w:pPr>
        <w:spacing w:after="160" w:line="259" w:lineRule="auto"/>
        <w:ind w:left="0" w:firstLine="0"/>
      </w:pPr>
      <w:r>
        <w:br w:type="page"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4305"/>
      </w:tblGrid>
      <w:tr w:rsidR="00AB0CAB" w14:paraId="04686405" w14:textId="77777777" w:rsidTr="00B034BC">
        <w:tc>
          <w:tcPr>
            <w:tcW w:w="4315" w:type="dxa"/>
          </w:tcPr>
          <w:p w14:paraId="0BFA22A7" w14:textId="7DA63E1F" w:rsidR="00AB0CAB" w:rsidRDefault="00B034BC">
            <w:pPr>
              <w:ind w:left="0" w:firstLine="0"/>
            </w:pPr>
            <w:r w:rsidRPr="00413183">
              <w:rPr>
                <w:rFonts w:eastAsia="Times New Roman"/>
                <w:noProof/>
              </w:rPr>
              <w:object w:dxaOrig="6836" w:dyaOrig="4786" w14:anchorId="0ADFF400">
                <v:shape id="_x0000_i1029" type="#_x0000_t75" alt="" style="width:238.5pt;height:167.25pt;mso-width-percent:0;mso-height-percent:0;mso-width-percent:0;mso-height-percent:0" o:ole="">
                  <v:imagedata r:id="rId14" o:title=""/>
                </v:shape>
                <o:OLEObject Type="Embed" ProgID="Origin50.Graph" ShapeID="_x0000_i1029" DrawAspect="Content" ObjectID="_1791371893" r:id="rId15"/>
              </w:object>
            </w:r>
          </w:p>
        </w:tc>
        <w:tc>
          <w:tcPr>
            <w:tcW w:w="4315" w:type="dxa"/>
          </w:tcPr>
          <w:p w14:paraId="16102501" w14:textId="005F6635" w:rsidR="00AB0CAB" w:rsidRDefault="00B034BC" w:rsidP="00B034BC">
            <w:pPr>
              <w:ind w:left="0" w:firstLine="0"/>
              <w:jc w:val="right"/>
            </w:pPr>
            <w:r w:rsidRPr="00413183">
              <w:rPr>
                <w:rFonts w:eastAsia="Times New Roman"/>
                <w:noProof/>
              </w:rPr>
              <w:object w:dxaOrig="6836" w:dyaOrig="4786" w14:anchorId="4C4D4A00">
                <v:shape id="_x0000_i1030" type="#_x0000_t75" alt="" style="width:232.5pt;height:165.75pt;mso-width-percent:0;mso-height-percent:0;mso-width-percent:0;mso-height-percent:0" o:ole="">
                  <v:imagedata r:id="rId16" o:title=""/>
                </v:shape>
                <o:OLEObject Type="Embed" ProgID="Origin50.Graph" ShapeID="_x0000_i1030" DrawAspect="Content" ObjectID="_1791371894" r:id="rId17"/>
              </w:object>
            </w:r>
          </w:p>
        </w:tc>
      </w:tr>
      <w:tr w:rsidR="00AB0CAB" w14:paraId="7E0CEDED" w14:textId="77777777" w:rsidTr="00B034BC">
        <w:tc>
          <w:tcPr>
            <w:tcW w:w="4315" w:type="dxa"/>
          </w:tcPr>
          <w:p w14:paraId="33D1C053" w14:textId="5B54DEE2" w:rsidR="00AB0CAB" w:rsidRDefault="00B034BC">
            <w:pPr>
              <w:ind w:left="0" w:firstLine="0"/>
            </w:pPr>
            <w:r w:rsidRPr="00413183">
              <w:rPr>
                <w:rFonts w:eastAsia="Times New Roman"/>
                <w:noProof/>
              </w:rPr>
              <w:object w:dxaOrig="6836" w:dyaOrig="4786" w14:anchorId="18826EB9">
                <v:shape id="_x0000_i1031" type="#_x0000_t75" alt="" style="width:237pt;height:163.5pt;mso-width-percent:0;mso-height-percent:0;mso-width-percent:0;mso-height-percent:0" o:ole="">
                  <v:imagedata r:id="rId18" o:title=""/>
                </v:shape>
                <o:OLEObject Type="Embed" ProgID="Origin50.Graph" ShapeID="_x0000_i1031" DrawAspect="Content" ObjectID="_1791371895" r:id="rId19"/>
              </w:object>
            </w:r>
          </w:p>
        </w:tc>
        <w:tc>
          <w:tcPr>
            <w:tcW w:w="4315" w:type="dxa"/>
          </w:tcPr>
          <w:p w14:paraId="10CC05F3" w14:textId="16F658A0" w:rsidR="00AB0CAB" w:rsidRDefault="00B034BC">
            <w:pPr>
              <w:ind w:left="0" w:firstLine="0"/>
            </w:pPr>
            <w:r w:rsidRPr="00413183">
              <w:rPr>
                <w:rFonts w:eastAsia="Times New Roman"/>
                <w:noProof/>
              </w:rPr>
              <w:object w:dxaOrig="6836" w:dyaOrig="4786" w14:anchorId="45ADBB41">
                <v:shape id="_x0000_i1032" type="#_x0000_t75" alt="" style="width:237pt;height:165pt;mso-width-percent:0;mso-height-percent:0;mso-width-percent:0;mso-height-percent:0" o:ole="">
                  <v:imagedata r:id="rId20" o:title=""/>
                </v:shape>
                <o:OLEObject Type="Embed" ProgID="Origin50.Graph" ShapeID="_x0000_i1032" DrawAspect="Content" ObjectID="_1791371896" r:id="rId21"/>
              </w:object>
            </w:r>
          </w:p>
        </w:tc>
      </w:tr>
      <w:tr w:rsidR="00AB0CAB" w14:paraId="17C31B03" w14:textId="77777777" w:rsidTr="00B034BC">
        <w:tc>
          <w:tcPr>
            <w:tcW w:w="8630" w:type="dxa"/>
            <w:gridSpan w:val="2"/>
          </w:tcPr>
          <w:p w14:paraId="0438F2B1" w14:textId="35CC976D" w:rsidR="00AB0CAB" w:rsidRDefault="00B034BC" w:rsidP="00B034BC">
            <w:pPr>
              <w:ind w:left="0" w:firstLine="0"/>
              <w:jc w:val="center"/>
            </w:pPr>
            <w:r w:rsidRPr="00413183">
              <w:rPr>
                <w:rFonts w:eastAsia="Times New Roman"/>
                <w:noProof/>
              </w:rPr>
              <w:object w:dxaOrig="6836" w:dyaOrig="4786" w14:anchorId="2FE572D4">
                <v:shape id="_x0000_i1033" type="#_x0000_t75" alt="" style="width:253.5pt;height:173.25pt;mso-width-percent:0;mso-height-percent:0;mso-width-percent:0;mso-height-percent:0" o:ole="">
                  <v:imagedata r:id="rId22" o:title=""/>
                </v:shape>
                <o:OLEObject Type="Embed" ProgID="Origin50.Graph" ShapeID="_x0000_i1033" DrawAspect="Content" ObjectID="_1791371897" r:id="rId23"/>
              </w:object>
            </w:r>
          </w:p>
        </w:tc>
      </w:tr>
      <w:tr w:rsidR="00AB0CAB" w14:paraId="6CCFA42E" w14:textId="77777777" w:rsidTr="00B034BC">
        <w:tc>
          <w:tcPr>
            <w:tcW w:w="8630" w:type="dxa"/>
            <w:gridSpan w:val="2"/>
          </w:tcPr>
          <w:p w14:paraId="06E726FE" w14:textId="41DF167D" w:rsidR="00AB0CAB" w:rsidRDefault="00B034BC" w:rsidP="00B034BC">
            <w:pPr>
              <w:spacing w:line="360" w:lineRule="auto"/>
              <w:ind w:left="0" w:firstLine="0"/>
              <w:jc w:val="both"/>
            </w:pPr>
            <w:r w:rsidRPr="002E6EB3">
              <w:rPr>
                <w:b/>
              </w:rPr>
              <w:t>Figure S</w:t>
            </w:r>
            <w:r>
              <w:rPr>
                <w:b/>
              </w:rPr>
              <w:t xml:space="preserve">2. </w:t>
            </w:r>
            <w:r w:rsidRPr="00413183">
              <w:rPr>
                <w:rFonts w:eastAsia="Times New Roman"/>
                <w:lang w:bidi="ar-EG"/>
              </w:rPr>
              <w:t>Luminescence spectra of 1x10</w:t>
            </w:r>
            <w:r w:rsidRPr="00413183">
              <w:rPr>
                <w:rFonts w:eastAsia="Times New Roman"/>
                <w:vertAlign w:val="superscript"/>
                <w:lang w:bidi="ar-EG"/>
              </w:rPr>
              <w:t>-5</w:t>
            </w:r>
            <w:r w:rsidRPr="00413183">
              <w:rPr>
                <w:rFonts w:eastAsia="Times New Roman"/>
                <w:lang w:bidi="ar-EG"/>
              </w:rPr>
              <w:t xml:space="preserve">M </w:t>
            </w:r>
            <w:r>
              <w:rPr>
                <w:rFonts w:eastAsia="Times New Roman"/>
                <w:lang w:bidi="ar-EG"/>
              </w:rPr>
              <w:t>Tb</w:t>
            </w:r>
            <w:r w:rsidRPr="00413183">
              <w:rPr>
                <w:rFonts w:eastAsia="Times New Roman"/>
                <w:lang w:bidi="ar-EG"/>
              </w:rPr>
              <w:t>(III)-(AZ)</w:t>
            </w:r>
            <w:r w:rsidRPr="00413183">
              <w:rPr>
                <w:rFonts w:eastAsia="Times New Roman"/>
                <w:vertAlign w:val="subscript"/>
                <w:lang w:bidi="ar-EG"/>
              </w:rPr>
              <w:t>2</w:t>
            </w:r>
            <w:r w:rsidRPr="00413183">
              <w:rPr>
                <w:rFonts w:eastAsia="Times New Roman"/>
                <w:lang w:bidi="ar-EG"/>
              </w:rPr>
              <w:t xml:space="preserve"> with different concentrations of GMF (0, 0.01, 0.05, 0.1, 0.5, 1, 5, 10, 20, 30, 40, 50, 100 µg/mL) at λ</w:t>
            </w:r>
            <w:r w:rsidRPr="00413183">
              <w:rPr>
                <w:rFonts w:eastAsia="Times New Roman"/>
                <w:vertAlign w:val="subscript"/>
                <w:lang w:bidi="ar-EG"/>
              </w:rPr>
              <w:t>exc/em</w:t>
            </w:r>
            <w:r w:rsidRPr="00413183">
              <w:rPr>
                <w:rFonts w:eastAsia="Times New Roman"/>
                <w:lang w:bidi="ar-EG"/>
              </w:rPr>
              <w:t xml:space="preserve"> = 307/</w:t>
            </w:r>
            <w:r>
              <w:rPr>
                <w:rFonts w:eastAsia="Times New Roman"/>
                <w:lang w:bidi="ar-EG"/>
              </w:rPr>
              <w:t>545</w:t>
            </w:r>
            <w:r w:rsidRPr="00413183">
              <w:rPr>
                <w:rFonts w:eastAsia="Times New Roman"/>
                <w:lang w:bidi="ar-EG"/>
              </w:rPr>
              <w:t xml:space="preserve"> nm and in </w:t>
            </w:r>
            <w:r>
              <w:rPr>
                <w:rFonts w:eastAsia="Times New Roman"/>
                <w:lang w:bidi="ar-EG"/>
              </w:rPr>
              <w:t>different solvents</w:t>
            </w:r>
            <w:r w:rsidRPr="00413183">
              <w:rPr>
                <w:rFonts w:eastAsia="Times New Roman"/>
                <w:lang w:bidi="ar-EG"/>
              </w:rPr>
              <w:t xml:space="preserve"> at room temperature.</w:t>
            </w:r>
          </w:p>
        </w:tc>
      </w:tr>
    </w:tbl>
    <w:p w14:paraId="267541C4" w14:textId="7B68C8C7" w:rsidR="00B034BC" w:rsidRDefault="00B034BC">
      <w:pPr>
        <w:spacing w:after="160" w:line="259" w:lineRule="auto"/>
        <w:ind w:left="0" w:firstLine="0"/>
      </w:pPr>
    </w:p>
    <w:p w14:paraId="65D02D48" w14:textId="12FC2A8E" w:rsidR="00B034BC" w:rsidRPr="00B034BC" w:rsidRDefault="00B034BC" w:rsidP="00B034BC">
      <w:pPr>
        <w:spacing w:line="360" w:lineRule="auto"/>
        <w:ind w:left="0" w:firstLine="0"/>
        <w:rPr>
          <w:rFonts w:eastAsia="Times New Roman"/>
          <w:bCs/>
        </w:rPr>
      </w:pPr>
      <w:r w:rsidRPr="001509D7">
        <w:rPr>
          <w:rFonts w:eastAsia="Calibri" w:cs="Arial"/>
          <w:b/>
          <w:bCs/>
        </w:rPr>
        <w:lastRenderedPageBreak/>
        <w:t xml:space="preserve">Table </w:t>
      </w:r>
      <w:r>
        <w:rPr>
          <w:rFonts w:eastAsia="Calibri" w:cs="Arial"/>
          <w:b/>
          <w:bCs/>
        </w:rPr>
        <w:t>S1</w:t>
      </w:r>
      <w:r>
        <w:rPr>
          <w:rFonts w:eastAsia="Calibri" w:cs="Arial"/>
          <w:bCs/>
        </w:rPr>
        <w:t xml:space="preserve">: </w:t>
      </w:r>
      <w:r w:rsidRPr="00B034BC">
        <w:rPr>
          <w:rFonts w:eastAsia="Times New Roman"/>
          <w:bCs/>
        </w:rPr>
        <w:t xml:space="preserve">Concentrations of interferences tolerated in the presence of 5 </w:t>
      </w:r>
      <w:r w:rsidRPr="00B034BC">
        <w:rPr>
          <w:rFonts w:eastAsia="Times New Roman"/>
        </w:rPr>
        <w:t>μg /ml</w:t>
      </w:r>
      <w:r w:rsidRPr="00B034BC">
        <w:rPr>
          <w:rFonts w:eastAsia="Times New Roman"/>
          <w:vertAlign w:val="superscript"/>
        </w:rPr>
        <w:t xml:space="preserve"> </w:t>
      </w:r>
      <w:r w:rsidRPr="00B034BC">
        <w:rPr>
          <w:rFonts w:eastAsia="Times New Roman"/>
          <w:bCs/>
        </w:rPr>
        <w:t>GMF.</w:t>
      </w:r>
    </w:p>
    <w:tbl>
      <w:tblPr>
        <w:tblStyle w:val="TableGrid311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3675"/>
      </w:tblGrid>
      <w:tr w:rsidR="00B034BC" w:rsidRPr="00B034BC" w14:paraId="0C64137B" w14:textId="77777777" w:rsidTr="00004ADD">
        <w:trPr>
          <w:trHeight w:val="828"/>
          <w:jc w:val="center"/>
        </w:trPr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61CFC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Interferent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2FD16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Concentration(μg /ml)</w:t>
            </w:r>
          </w:p>
        </w:tc>
      </w:tr>
      <w:tr w:rsidR="00B034BC" w:rsidRPr="00B034BC" w14:paraId="41C25A68" w14:textId="77777777" w:rsidTr="00004ADD">
        <w:trPr>
          <w:jc w:val="center"/>
        </w:trPr>
        <w:tc>
          <w:tcPr>
            <w:tcW w:w="2846" w:type="dxa"/>
            <w:tcBorders>
              <w:top w:val="single" w:sz="4" w:space="0" w:color="auto"/>
            </w:tcBorders>
            <w:vAlign w:val="center"/>
          </w:tcPr>
          <w:p w14:paraId="764C0B08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 xml:space="preserve">Lactose anhydrous </w:t>
            </w:r>
          </w:p>
        </w:tc>
        <w:tc>
          <w:tcPr>
            <w:tcW w:w="3675" w:type="dxa"/>
            <w:tcBorders>
              <w:top w:val="single" w:sz="4" w:space="0" w:color="auto"/>
            </w:tcBorders>
            <w:vAlign w:val="center"/>
          </w:tcPr>
          <w:p w14:paraId="5E501855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  <w:rPr>
                <w:rtl/>
              </w:rPr>
            </w:pPr>
            <w:r w:rsidRPr="00B034BC">
              <w:t>9500</w:t>
            </w:r>
          </w:p>
        </w:tc>
      </w:tr>
      <w:tr w:rsidR="00B034BC" w:rsidRPr="00B034BC" w14:paraId="70A164D3" w14:textId="77777777" w:rsidTr="00004ADD">
        <w:trPr>
          <w:jc w:val="center"/>
        </w:trPr>
        <w:tc>
          <w:tcPr>
            <w:tcW w:w="2846" w:type="dxa"/>
            <w:vAlign w:val="center"/>
          </w:tcPr>
          <w:p w14:paraId="58132657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 xml:space="preserve">Avicel PH101 </w:t>
            </w:r>
          </w:p>
        </w:tc>
        <w:tc>
          <w:tcPr>
            <w:tcW w:w="3675" w:type="dxa"/>
            <w:vAlign w:val="center"/>
          </w:tcPr>
          <w:p w14:paraId="71B2BA49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2900</w:t>
            </w:r>
          </w:p>
        </w:tc>
      </w:tr>
      <w:tr w:rsidR="00B034BC" w:rsidRPr="00B034BC" w14:paraId="7E023040" w14:textId="77777777" w:rsidTr="00004ADD">
        <w:trPr>
          <w:jc w:val="center"/>
        </w:trPr>
        <w:tc>
          <w:tcPr>
            <w:tcW w:w="2846" w:type="dxa"/>
            <w:vAlign w:val="center"/>
          </w:tcPr>
          <w:p w14:paraId="7AA5D87A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 xml:space="preserve">Talc </w:t>
            </w:r>
          </w:p>
        </w:tc>
        <w:tc>
          <w:tcPr>
            <w:tcW w:w="3675" w:type="dxa"/>
            <w:vAlign w:val="center"/>
          </w:tcPr>
          <w:p w14:paraId="476EBAD4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49000</w:t>
            </w:r>
          </w:p>
        </w:tc>
      </w:tr>
      <w:tr w:rsidR="00B034BC" w:rsidRPr="00B034BC" w14:paraId="708785FE" w14:textId="77777777" w:rsidTr="00004ADD">
        <w:trPr>
          <w:jc w:val="center"/>
        </w:trPr>
        <w:tc>
          <w:tcPr>
            <w:tcW w:w="2846" w:type="dxa"/>
            <w:vAlign w:val="center"/>
          </w:tcPr>
          <w:p w14:paraId="35021444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 xml:space="preserve">Titanium dioxide </w:t>
            </w:r>
          </w:p>
        </w:tc>
        <w:tc>
          <w:tcPr>
            <w:tcW w:w="3675" w:type="dxa"/>
            <w:vAlign w:val="center"/>
          </w:tcPr>
          <w:p w14:paraId="2BD048D9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800</w:t>
            </w:r>
          </w:p>
        </w:tc>
      </w:tr>
      <w:tr w:rsidR="00B034BC" w:rsidRPr="00B034BC" w14:paraId="5C214B01" w14:textId="77777777" w:rsidTr="00004ADD">
        <w:trPr>
          <w:jc w:val="center"/>
        </w:trPr>
        <w:tc>
          <w:tcPr>
            <w:tcW w:w="2846" w:type="dxa"/>
            <w:vAlign w:val="center"/>
          </w:tcPr>
          <w:p w14:paraId="1A2C6753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 xml:space="preserve">Magnesium stearate </w:t>
            </w:r>
          </w:p>
        </w:tc>
        <w:tc>
          <w:tcPr>
            <w:tcW w:w="3675" w:type="dxa"/>
            <w:vAlign w:val="center"/>
          </w:tcPr>
          <w:p w14:paraId="34848CFB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11200</w:t>
            </w:r>
          </w:p>
        </w:tc>
      </w:tr>
      <w:tr w:rsidR="00B034BC" w:rsidRPr="00B034BC" w14:paraId="00BD0507" w14:textId="77777777" w:rsidTr="00004ADD">
        <w:trPr>
          <w:jc w:val="center"/>
        </w:trPr>
        <w:tc>
          <w:tcPr>
            <w:tcW w:w="2846" w:type="dxa"/>
            <w:vAlign w:val="center"/>
          </w:tcPr>
          <w:p w14:paraId="04474CB2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 xml:space="preserve">Croscarmellose sodium </w:t>
            </w:r>
          </w:p>
        </w:tc>
        <w:tc>
          <w:tcPr>
            <w:tcW w:w="3675" w:type="dxa"/>
            <w:vAlign w:val="center"/>
          </w:tcPr>
          <w:p w14:paraId="3E55E849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5200</w:t>
            </w:r>
          </w:p>
        </w:tc>
      </w:tr>
      <w:tr w:rsidR="00B034BC" w:rsidRPr="00B034BC" w14:paraId="36FABEEB" w14:textId="77777777" w:rsidTr="00004ADD">
        <w:trPr>
          <w:jc w:val="center"/>
        </w:trPr>
        <w:tc>
          <w:tcPr>
            <w:tcW w:w="2846" w:type="dxa"/>
            <w:vAlign w:val="center"/>
          </w:tcPr>
          <w:p w14:paraId="6E767C1C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 xml:space="preserve">PVP K30 </w:t>
            </w:r>
          </w:p>
        </w:tc>
        <w:tc>
          <w:tcPr>
            <w:tcW w:w="3675" w:type="dxa"/>
            <w:vAlign w:val="center"/>
          </w:tcPr>
          <w:p w14:paraId="52844292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29500</w:t>
            </w:r>
          </w:p>
        </w:tc>
      </w:tr>
      <w:tr w:rsidR="00B034BC" w:rsidRPr="00B034BC" w14:paraId="21C7872B" w14:textId="77777777" w:rsidTr="00004ADD">
        <w:trPr>
          <w:jc w:val="center"/>
        </w:trPr>
        <w:tc>
          <w:tcPr>
            <w:tcW w:w="2846" w:type="dxa"/>
            <w:vAlign w:val="center"/>
          </w:tcPr>
          <w:p w14:paraId="4C7B1C14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starch</w:t>
            </w:r>
          </w:p>
        </w:tc>
        <w:tc>
          <w:tcPr>
            <w:tcW w:w="3675" w:type="dxa"/>
            <w:vAlign w:val="center"/>
          </w:tcPr>
          <w:p w14:paraId="29F11BE2" w14:textId="77777777" w:rsidR="00B034BC" w:rsidRPr="00B034BC" w:rsidRDefault="00B034BC" w:rsidP="00B034BC">
            <w:pPr>
              <w:spacing w:after="160" w:line="360" w:lineRule="auto"/>
              <w:ind w:left="0" w:firstLine="0"/>
              <w:jc w:val="center"/>
            </w:pPr>
            <w:r w:rsidRPr="00B034BC">
              <w:t>11200</w:t>
            </w:r>
          </w:p>
        </w:tc>
      </w:tr>
    </w:tbl>
    <w:p w14:paraId="7EFDA5BC" w14:textId="77777777" w:rsidR="00523296" w:rsidRDefault="00523296"/>
    <w:sectPr w:rsidR="00523296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E658" w14:textId="77777777" w:rsidR="00A13D50" w:rsidRDefault="00A13D50" w:rsidP="004064C6">
      <w:pPr>
        <w:spacing w:after="0" w:line="240" w:lineRule="auto"/>
      </w:pPr>
      <w:r>
        <w:separator/>
      </w:r>
    </w:p>
  </w:endnote>
  <w:endnote w:type="continuationSeparator" w:id="0">
    <w:p w14:paraId="7ACF1139" w14:textId="77777777" w:rsidR="00A13D50" w:rsidRDefault="00A13D50" w:rsidP="0040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341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223EF" w14:textId="27301251" w:rsidR="004064C6" w:rsidRDefault="004064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93612" w14:textId="77777777" w:rsidR="004064C6" w:rsidRDefault="00406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76B5" w14:textId="77777777" w:rsidR="00A13D50" w:rsidRDefault="00A13D50" w:rsidP="004064C6">
      <w:pPr>
        <w:spacing w:after="0" w:line="240" w:lineRule="auto"/>
      </w:pPr>
      <w:r>
        <w:separator/>
      </w:r>
    </w:p>
  </w:footnote>
  <w:footnote w:type="continuationSeparator" w:id="0">
    <w:p w14:paraId="4770539E" w14:textId="77777777" w:rsidR="00A13D50" w:rsidRDefault="00A13D50" w:rsidP="00406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AB"/>
    <w:rsid w:val="004064C6"/>
    <w:rsid w:val="00523296"/>
    <w:rsid w:val="00664A0F"/>
    <w:rsid w:val="00A13D50"/>
    <w:rsid w:val="00AB0CAB"/>
    <w:rsid w:val="00B034BC"/>
    <w:rsid w:val="00D23F7F"/>
    <w:rsid w:val="00E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45FA9"/>
  <w15:chartTrackingRefBased/>
  <w15:docId w15:val="{9479DDF0-B083-461B-B7A9-1F60C0EE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CAB"/>
    <w:pPr>
      <w:spacing w:after="200" w:line="276" w:lineRule="auto"/>
      <w:ind w:left="720" w:hanging="36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AB0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uiPriority w:val="39"/>
    <w:rsid w:val="00B034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4C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4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goda</dc:creator>
  <cp:keywords/>
  <dc:description/>
  <cp:lastModifiedBy>MMM</cp:lastModifiedBy>
  <cp:revision>3</cp:revision>
  <dcterms:created xsi:type="dcterms:W3CDTF">2023-05-01T21:33:00Z</dcterms:created>
  <dcterms:modified xsi:type="dcterms:W3CDTF">2024-10-25T12:32:00Z</dcterms:modified>
</cp:coreProperties>
</file>